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5F" w:rsidRDefault="0050315F" w:rsidP="0050315F">
      <w:pPr>
        <w:shd w:val="clear" w:color="auto" w:fill="FFFFFF"/>
        <w:spacing w:after="150" w:line="240" w:lineRule="auto"/>
        <w:jc w:val="both"/>
        <w:rPr>
          <w:rFonts w:ascii="Times New Roman" w:eastAsia="Times New Roman" w:hAnsi="Times New Roman" w:cs="Times New Roman"/>
          <w:color w:val="212121"/>
          <w:sz w:val="21"/>
          <w:szCs w:val="21"/>
          <w:lang w:eastAsia="hr-HR"/>
        </w:rPr>
      </w:pPr>
      <w:bookmarkStart w:id="0" w:name="_GoBack"/>
      <w:bookmarkEnd w:id="0"/>
      <w:r w:rsidRPr="0050315F">
        <w:rPr>
          <w:rFonts w:ascii="Times New Roman" w:eastAsia="Times New Roman" w:hAnsi="Times New Roman" w:cs="Times New Roman"/>
          <w:color w:val="212121"/>
          <w:sz w:val="21"/>
          <w:szCs w:val="21"/>
          <w:lang w:eastAsia="hr-HR"/>
        </w:rPr>
        <w:t xml:space="preserve">Na temelju članka 3.stavka 2. i članka 7. stavka 2. Zakona o financiranju političkih aktivnosti i izborne promidžbe ("Narodne novine", broj 24/11, 61/11, 27/13, 02/14,96/16,70/17) i članka 32. Statuta Općine Kistanje ("Službeni vjesnik Šibensko-kninske </w:t>
      </w:r>
      <w:r w:rsidR="00B620B2">
        <w:rPr>
          <w:rFonts w:ascii="Times New Roman" w:eastAsia="Times New Roman" w:hAnsi="Times New Roman" w:cs="Times New Roman"/>
          <w:color w:val="212121"/>
          <w:sz w:val="21"/>
          <w:szCs w:val="21"/>
          <w:lang w:eastAsia="hr-HR"/>
        </w:rPr>
        <w:t>županije",broj 8/09,15/10,</w:t>
      </w:r>
      <w:r w:rsidRPr="0050315F">
        <w:rPr>
          <w:rFonts w:ascii="Times New Roman" w:eastAsia="Times New Roman" w:hAnsi="Times New Roman" w:cs="Times New Roman"/>
          <w:color w:val="212121"/>
          <w:sz w:val="21"/>
          <w:szCs w:val="21"/>
          <w:lang w:eastAsia="hr-HR"/>
        </w:rPr>
        <w:t xml:space="preserve">4/13,2/18), </w:t>
      </w:r>
      <w:r w:rsidR="00931789">
        <w:rPr>
          <w:rFonts w:ascii="Times New Roman" w:eastAsia="Times New Roman" w:hAnsi="Times New Roman" w:cs="Times New Roman"/>
          <w:color w:val="212121"/>
          <w:sz w:val="21"/>
          <w:szCs w:val="21"/>
          <w:lang w:eastAsia="hr-HR"/>
        </w:rPr>
        <w:t>Općinsko vijeće Općine Kistanje</w:t>
      </w:r>
      <w:r w:rsidRPr="0050315F">
        <w:rPr>
          <w:rFonts w:ascii="Times New Roman" w:eastAsia="Times New Roman" w:hAnsi="Times New Roman" w:cs="Times New Roman"/>
          <w:color w:val="212121"/>
          <w:sz w:val="21"/>
          <w:szCs w:val="21"/>
          <w:lang w:eastAsia="hr-HR"/>
        </w:rPr>
        <w:t> </w:t>
      </w:r>
      <w:r w:rsidR="00931789">
        <w:rPr>
          <w:rFonts w:ascii="Times New Roman" w:eastAsia="Times New Roman" w:hAnsi="Times New Roman" w:cs="Times New Roman"/>
          <w:color w:val="212121"/>
          <w:sz w:val="21"/>
          <w:szCs w:val="21"/>
          <w:lang w:eastAsia="hr-HR"/>
        </w:rPr>
        <w:t>na</w:t>
      </w:r>
      <w:r w:rsidR="00B620B2">
        <w:rPr>
          <w:rFonts w:ascii="Times New Roman" w:eastAsia="Times New Roman" w:hAnsi="Times New Roman" w:cs="Times New Roman"/>
          <w:color w:val="212121"/>
          <w:sz w:val="21"/>
          <w:szCs w:val="21"/>
          <w:lang w:eastAsia="hr-HR"/>
        </w:rPr>
        <w:t xml:space="preserve"> 11.sjednici od 31.siječnja</w:t>
      </w:r>
      <w:r w:rsidRPr="0050315F">
        <w:rPr>
          <w:rFonts w:ascii="Times New Roman" w:eastAsia="Times New Roman" w:hAnsi="Times New Roman" w:cs="Times New Roman"/>
          <w:color w:val="212121"/>
          <w:sz w:val="21"/>
          <w:szCs w:val="21"/>
          <w:lang w:eastAsia="hr-HR"/>
        </w:rPr>
        <w:t xml:space="preserve"> 2019.g., donosi</w:t>
      </w:r>
    </w:p>
    <w:p w:rsidR="0050315F" w:rsidRPr="0050315F" w:rsidRDefault="0050315F" w:rsidP="0050315F">
      <w:pPr>
        <w:shd w:val="clear" w:color="auto" w:fill="FFFFFF"/>
        <w:spacing w:after="150" w:line="240" w:lineRule="auto"/>
        <w:jc w:val="both"/>
        <w:rPr>
          <w:rFonts w:ascii="Times New Roman" w:eastAsia="Times New Roman" w:hAnsi="Times New Roman" w:cs="Times New Roman"/>
          <w:color w:val="212121"/>
          <w:sz w:val="21"/>
          <w:szCs w:val="21"/>
          <w:lang w:eastAsia="hr-HR"/>
        </w:rPr>
      </w:pPr>
    </w:p>
    <w:p w:rsidR="0050315F" w:rsidRPr="0050315F" w:rsidRDefault="0050315F" w:rsidP="00B620B2">
      <w:pPr>
        <w:shd w:val="clear" w:color="auto" w:fill="FFFFFF"/>
        <w:spacing w:after="150" w:line="240" w:lineRule="auto"/>
        <w:jc w:val="center"/>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O D L U KU </w:t>
      </w:r>
      <w:r w:rsidRPr="0050315F">
        <w:rPr>
          <w:rFonts w:ascii="Times New Roman" w:eastAsia="Times New Roman" w:hAnsi="Times New Roman" w:cs="Times New Roman"/>
          <w:color w:val="212121"/>
          <w:sz w:val="21"/>
          <w:szCs w:val="21"/>
          <w:lang w:eastAsia="hr-HR"/>
        </w:rPr>
        <w:br/>
      </w:r>
      <w:r w:rsidRPr="0050315F">
        <w:rPr>
          <w:rFonts w:ascii="Times New Roman" w:eastAsia="Times New Roman" w:hAnsi="Times New Roman" w:cs="Times New Roman"/>
          <w:b/>
          <w:bCs/>
          <w:color w:val="212121"/>
          <w:sz w:val="21"/>
          <w:szCs w:val="21"/>
          <w:lang w:eastAsia="hr-HR"/>
        </w:rPr>
        <w:t>o raspoređivanju sredstava za financiranje političkih stranaka i člana s liste grupe birača zastupljenih u</w:t>
      </w:r>
      <w:r w:rsidRPr="0050315F">
        <w:rPr>
          <w:rFonts w:ascii="Times New Roman" w:eastAsia="Times New Roman" w:hAnsi="Times New Roman" w:cs="Times New Roman"/>
          <w:color w:val="212121"/>
          <w:sz w:val="21"/>
          <w:szCs w:val="21"/>
          <w:lang w:eastAsia="hr-HR"/>
        </w:rPr>
        <w:t> </w:t>
      </w:r>
      <w:r w:rsidRPr="0050315F">
        <w:rPr>
          <w:rFonts w:ascii="Times New Roman" w:eastAsia="Times New Roman" w:hAnsi="Times New Roman" w:cs="Times New Roman"/>
          <w:b/>
          <w:bCs/>
          <w:color w:val="212121"/>
          <w:sz w:val="21"/>
          <w:szCs w:val="21"/>
          <w:lang w:eastAsia="hr-HR"/>
        </w:rPr>
        <w:t>Općinskom vij</w:t>
      </w:r>
      <w:r>
        <w:rPr>
          <w:rFonts w:ascii="Times New Roman" w:eastAsia="Times New Roman" w:hAnsi="Times New Roman" w:cs="Times New Roman"/>
          <w:b/>
          <w:bCs/>
          <w:color w:val="212121"/>
          <w:sz w:val="21"/>
          <w:szCs w:val="21"/>
          <w:lang w:eastAsia="hr-HR"/>
        </w:rPr>
        <w:t>eću Općine Kistanje za 2019</w:t>
      </w:r>
      <w:r w:rsidRPr="0050315F">
        <w:rPr>
          <w:rFonts w:ascii="Times New Roman" w:eastAsia="Times New Roman" w:hAnsi="Times New Roman" w:cs="Times New Roman"/>
          <w:b/>
          <w:bCs/>
          <w:color w:val="212121"/>
          <w:sz w:val="21"/>
          <w:szCs w:val="21"/>
          <w:lang w:eastAsia="hr-HR"/>
        </w:rPr>
        <w:t>.g.</w:t>
      </w:r>
    </w:p>
    <w:p w:rsidR="0050315F" w:rsidRPr="0050315F" w:rsidRDefault="0050315F" w:rsidP="0050315F">
      <w:pPr>
        <w:shd w:val="clear" w:color="auto" w:fill="FFFFFF"/>
        <w:spacing w:after="150" w:line="240" w:lineRule="auto"/>
        <w:jc w:val="center"/>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Članak 1.</w:t>
      </w:r>
    </w:p>
    <w:p w:rsidR="0050315F" w:rsidRPr="0050315F" w:rsidRDefault="0050315F" w:rsidP="00931789">
      <w:pPr>
        <w:shd w:val="clear" w:color="auto" w:fill="FFFFFF"/>
        <w:spacing w:after="150" w:line="240" w:lineRule="auto"/>
        <w:jc w:val="both"/>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 xml:space="preserve">Ovom Odlukom raspoređuju se sredstva za financiranje političkih stranaka i člana s liste grupe birača zastupljenih u  Općinskom vijeću Općine Kistanje (u daljnjem </w:t>
      </w:r>
      <w:r w:rsidR="008A5F38">
        <w:rPr>
          <w:rFonts w:ascii="Times New Roman" w:eastAsia="Times New Roman" w:hAnsi="Times New Roman" w:cs="Times New Roman"/>
          <w:color w:val="212121"/>
          <w:sz w:val="21"/>
          <w:szCs w:val="21"/>
          <w:lang w:eastAsia="hr-HR"/>
        </w:rPr>
        <w:t>tekstu: Općinsko vijeće) za 2019</w:t>
      </w:r>
      <w:r w:rsidRPr="0050315F">
        <w:rPr>
          <w:rFonts w:ascii="Times New Roman" w:eastAsia="Times New Roman" w:hAnsi="Times New Roman" w:cs="Times New Roman"/>
          <w:color w:val="212121"/>
          <w:sz w:val="21"/>
          <w:szCs w:val="21"/>
          <w:lang w:eastAsia="hr-HR"/>
        </w:rPr>
        <w:t>. godinu koja se osiguravaju u Proračunu  Općine Kistanje  za 2019. godinu.</w:t>
      </w:r>
    </w:p>
    <w:p w:rsidR="0050315F" w:rsidRPr="0050315F" w:rsidRDefault="0050315F" w:rsidP="00931789">
      <w:pPr>
        <w:shd w:val="clear" w:color="auto" w:fill="FFFFFF"/>
        <w:spacing w:after="150" w:line="240" w:lineRule="auto"/>
        <w:jc w:val="center"/>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Članak 2.</w:t>
      </w:r>
    </w:p>
    <w:p w:rsidR="00931789" w:rsidRDefault="0050315F" w:rsidP="00931789">
      <w:pPr>
        <w:shd w:val="clear" w:color="auto" w:fill="FFFFFF"/>
        <w:spacing w:after="150" w:line="240" w:lineRule="auto"/>
        <w:rPr>
          <w:rFonts w:ascii="Times New Roman" w:eastAsia="Times New Roman" w:hAnsi="Times New Roman" w:cs="Times New Roman"/>
          <w:b/>
          <w:bCs/>
          <w:color w:val="212121"/>
          <w:sz w:val="21"/>
          <w:szCs w:val="21"/>
          <w:lang w:eastAsia="hr-HR"/>
        </w:rPr>
      </w:pPr>
      <w:r w:rsidRPr="0050315F">
        <w:rPr>
          <w:rFonts w:ascii="Times New Roman" w:eastAsia="Times New Roman" w:hAnsi="Times New Roman" w:cs="Times New Roman"/>
          <w:color w:val="212121"/>
          <w:sz w:val="21"/>
          <w:szCs w:val="21"/>
          <w:lang w:eastAsia="hr-HR"/>
        </w:rPr>
        <w:t>Pravo na redovito godišnje financiranje imaju političke stranke koje imaju najmanje jednog vijećnika u Općinskom  vijeću Općine Kistanje i član  Općinskog</w:t>
      </w:r>
      <w:r w:rsidR="00931789">
        <w:rPr>
          <w:rFonts w:ascii="Times New Roman" w:eastAsia="Times New Roman" w:hAnsi="Times New Roman" w:cs="Times New Roman"/>
          <w:color w:val="212121"/>
          <w:sz w:val="21"/>
          <w:szCs w:val="21"/>
          <w:lang w:eastAsia="hr-HR"/>
        </w:rPr>
        <w:t xml:space="preserve"> vijeća Općine Kistanje izabran</w:t>
      </w:r>
      <w:r w:rsidRPr="0050315F">
        <w:rPr>
          <w:rFonts w:ascii="Times New Roman" w:eastAsia="Times New Roman" w:hAnsi="Times New Roman" w:cs="Times New Roman"/>
          <w:color w:val="212121"/>
          <w:sz w:val="21"/>
          <w:szCs w:val="21"/>
          <w:lang w:eastAsia="hr-HR"/>
        </w:rPr>
        <w:t xml:space="preserve"> s liste grupe birača .</w:t>
      </w:r>
      <w:r w:rsidRPr="0050315F">
        <w:rPr>
          <w:rFonts w:ascii="Times New Roman" w:eastAsia="Times New Roman" w:hAnsi="Times New Roman" w:cs="Times New Roman"/>
          <w:color w:val="212121"/>
          <w:sz w:val="21"/>
          <w:szCs w:val="21"/>
          <w:lang w:eastAsia="hr-HR"/>
        </w:rPr>
        <w:br/>
      </w:r>
    </w:p>
    <w:p w:rsidR="0050315F" w:rsidRPr="0050315F" w:rsidRDefault="0050315F" w:rsidP="00931789">
      <w:pPr>
        <w:shd w:val="clear" w:color="auto" w:fill="FFFFFF"/>
        <w:spacing w:after="150" w:line="240" w:lineRule="auto"/>
        <w:jc w:val="center"/>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Članak 3.</w:t>
      </w:r>
    </w:p>
    <w:p w:rsidR="00931789" w:rsidRDefault="0050315F" w:rsidP="00931789">
      <w:pPr>
        <w:shd w:val="clear" w:color="auto" w:fill="FFFFFF"/>
        <w:spacing w:after="150" w:line="240" w:lineRule="auto"/>
        <w:jc w:val="both"/>
        <w:rPr>
          <w:rFonts w:ascii="Times New Roman" w:eastAsia="Times New Roman" w:hAnsi="Times New Roman" w:cs="Times New Roman"/>
          <w:b/>
          <w:bCs/>
          <w:color w:val="212121"/>
          <w:sz w:val="21"/>
          <w:szCs w:val="21"/>
          <w:lang w:eastAsia="hr-HR"/>
        </w:rPr>
      </w:pPr>
      <w:r w:rsidRPr="0050315F">
        <w:rPr>
          <w:rFonts w:ascii="Times New Roman" w:eastAsia="Times New Roman" w:hAnsi="Times New Roman" w:cs="Times New Roman"/>
          <w:color w:val="212121"/>
          <w:sz w:val="21"/>
          <w:szCs w:val="21"/>
          <w:lang w:eastAsia="hr-HR"/>
        </w:rPr>
        <w:t>Proračunom Općine Kistanje za 2019</w:t>
      </w:r>
      <w:r w:rsidR="0007691C">
        <w:rPr>
          <w:rFonts w:ascii="Times New Roman" w:eastAsia="Times New Roman" w:hAnsi="Times New Roman" w:cs="Times New Roman"/>
          <w:color w:val="212121"/>
          <w:sz w:val="21"/>
          <w:szCs w:val="21"/>
          <w:lang w:eastAsia="hr-HR"/>
        </w:rPr>
        <w:t xml:space="preserve">.godinu osigurano je 50.000,00 </w:t>
      </w:r>
      <w:r w:rsidRPr="0050315F">
        <w:rPr>
          <w:rFonts w:ascii="Times New Roman" w:eastAsia="Times New Roman" w:hAnsi="Times New Roman" w:cs="Times New Roman"/>
          <w:color w:val="212121"/>
          <w:sz w:val="21"/>
          <w:szCs w:val="21"/>
          <w:lang w:eastAsia="hr-HR"/>
        </w:rPr>
        <w:t>kuna za rad  politič</w:t>
      </w:r>
      <w:r w:rsidR="00931789">
        <w:rPr>
          <w:rFonts w:ascii="Times New Roman" w:eastAsia="Times New Roman" w:hAnsi="Times New Roman" w:cs="Times New Roman"/>
          <w:color w:val="212121"/>
          <w:sz w:val="21"/>
          <w:szCs w:val="21"/>
          <w:lang w:eastAsia="hr-HR"/>
        </w:rPr>
        <w:t>kih stranaka  i člana izabranog</w:t>
      </w:r>
      <w:r w:rsidRPr="0050315F">
        <w:rPr>
          <w:rFonts w:ascii="Times New Roman" w:eastAsia="Times New Roman" w:hAnsi="Times New Roman" w:cs="Times New Roman"/>
          <w:color w:val="212121"/>
          <w:sz w:val="21"/>
          <w:szCs w:val="21"/>
          <w:lang w:eastAsia="hr-HR"/>
        </w:rPr>
        <w:t xml:space="preserve"> s liste grupe birača zastupljenih u Općinskom vijeću Općine Kistanje.</w:t>
      </w:r>
      <w:r w:rsidRPr="0050315F">
        <w:rPr>
          <w:rFonts w:ascii="Times New Roman" w:eastAsia="Times New Roman" w:hAnsi="Times New Roman" w:cs="Times New Roman"/>
          <w:color w:val="212121"/>
          <w:sz w:val="21"/>
          <w:szCs w:val="21"/>
          <w:lang w:eastAsia="hr-HR"/>
        </w:rPr>
        <w:br/>
      </w:r>
    </w:p>
    <w:p w:rsidR="0050315F" w:rsidRPr="0050315F" w:rsidRDefault="0050315F" w:rsidP="00931789">
      <w:pPr>
        <w:shd w:val="clear" w:color="auto" w:fill="FFFFFF"/>
        <w:spacing w:after="150" w:line="240" w:lineRule="auto"/>
        <w:jc w:val="center"/>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Članak 4.</w:t>
      </w:r>
    </w:p>
    <w:p w:rsidR="0050315F" w:rsidRPr="0050315F" w:rsidRDefault="0050315F" w:rsidP="00931789">
      <w:pPr>
        <w:shd w:val="clear" w:color="auto" w:fill="FFFFFF"/>
        <w:spacing w:after="150" w:line="240" w:lineRule="auto"/>
        <w:jc w:val="both"/>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Za svakog člana Općinskog vijeća Općine Kistanje utvrđuje se jednaki iznos sredstava tako da svakoj pojedinoj političkoj stranci pripadaju sredstva razmjerno broju njenih članova u Općinskom vijeću Općine Kistanje, odnosno svakom izabranom članu s liste grupe birača pripada jednak iznos.</w:t>
      </w:r>
    </w:p>
    <w:p w:rsidR="0050315F" w:rsidRPr="0050315F" w:rsidRDefault="0050315F" w:rsidP="00931789">
      <w:pPr>
        <w:shd w:val="clear" w:color="auto" w:fill="FFFFFF"/>
        <w:spacing w:after="150" w:line="240" w:lineRule="auto"/>
        <w:jc w:val="both"/>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Za svaku vijećnicu u Općinskom vijeću, kao pripadnici podzastupljenog spola, utvrđuje se uvećana naknada u visini od 10% u odnosu na naknadu vijećnika.</w:t>
      </w:r>
    </w:p>
    <w:p w:rsidR="0050315F" w:rsidRPr="0050315F" w:rsidRDefault="0050315F" w:rsidP="00931789">
      <w:pPr>
        <w:shd w:val="clear" w:color="auto" w:fill="FFFFFF"/>
        <w:spacing w:after="150" w:line="240" w:lineRule="auto"/>
        <w:jc w:val="center"/>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Članak 5.</w:t>
      </w:r>
    </w:p>
    <w:p w:rsidR="0050315F" w:rsidRPr="0050315F" w:rsidRDefault="0050315F" w:rsidP="00931789">
      <w:pPr>
        <w:shd w:val="clear" w:color="auto" w:fill="FFFFFF"/>
        <w:spacing w:after="150" w:line="240" w:lineRule="auto"/>
        <w:jc w:val="both"/>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 xml:space="preserve">Svakom vijećniku pripada </w:t>
      </w:r>
      <w:r w:rsidR="00B620B2">
        <w:rPr>
          <w:rFonts w:ascii="Times New Roman" w:eastAsia="Times New Roman" w:hAnsi="Times New Roman" w:cs="Times New Roman"/>
          <w:color w:val="212121"/>
          <w:sz w:val="21"/>
          <w:szCs w:val="21"/>
          <w:lang w:eastAsia="hr-HR"/>
        </w:rPr>
        <w:t>313,28</w:t>
      </w:r>
      <w:r w:rsidRPr="0050315F">
        <w:rPr>
          <w:rFonts w:ascii="Times New Roman" w:eastAsia="Times New Roman" w:hAnsi="Times New Roman" w:cs="Times New Roman"/>
          <w:color w:val="212121"/>
          <w:sz w:val="21"/>
          <w:szCs w:val="21"/>
          <w:lang w:eastAsia="hr-HR"/>
        </w:rPr>
        <w:t xml:space="preserve"> kuna mjesečno, a svakom vijećniku podzastupljenog spola pripada mjesečno 3</w:t>
      </w:r>
      <w:r w:rsidR="00B620B2">
        <w:rPr>
          <w:rFonts w:ascii="Times New Roman" w:eastAsia="Times New Roman" w:hAnsi="Times New Roman" w:cs="Times New Roman"/>
          <w:color w:val="212121"/>
          <w:sz w:val="21"/>
          <w:szCs w:val="21"/>
          <w:lang w:eastAsia="hr-HR"/>
        </w:rPr>
        <w:t>44,61</w:t>
      </w:r>
      <w:r w:rsidRPr="0050315F">
        <w:rPr>
          <w:rFonts w:ascii="Times New Roman" w:eastAsia="Times New Roman" w:hAnsi="Times New Roman" w:cs="Times New Roman"/>
          <w:color w:val="212121"/>
          <w:sz w:val="21"/>
          <w:szCs w:val="21"/>
          <w:lang w:eastAsia="hr-HR"/>
        </w:rPr>
        <w:t xml:space="preserve"> kuna.</w:t>
      </w:r>
    </w:p>
    <w:p w:rsidR="0050315F" w:rsidRPr="0050315F" w:rsidRDefault="0050315F" w:rsidP="00931789">
      <w:pPr>
        <w:shd w:val="clear" w:color="auto" w:fill="FFFFFF"/>
        <w:spacing w:after="150" w:line="240" w:lineRule="auto"/>
        <w:jc w:val="center"/>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Članak 6.</w:t>
      </w:r>
    </w:p>
    <w:p w:rsidR="0050315F" w:rsidRPr="0050315F" w:rsidRDefault="0050315F" w:rsidP="00931789">
      <w:pPr>
        <w:shd w:val="clear" w:color="auto" w:fill="FFFFFF"/>
        <w:spacing w:after="150" w:line="240" w:lineRule="auto"/>
        <w:jc w:val="both"/>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Kao podaci o stranačkoj pripadnosti članova Općinskog vijeća Općin</w:t>
      </w:r>
      <w:r w:rsidR="00931789">
        <w:rPr>
          <w:rFonts w:ascii="Times New Roman" w:eastAsia="Times New Roman" w:hAnsi="Times New Roman" w:cs="Times New Roman"/>
          <w:color w:val="212121"/>
          <w:sz w:val="21"/>
          <w:szCs w:val="21"/>
          <w:lang w:eastAsia="hr-HR"/>
        </w:rPr>
        <w:t xml:space="preserve">e Kistanje uzimaju se podaci o </w:t>
      </w:r>
      <w:r w:rsidRPr="0050315F">
        <w:rPr>
          <w:rFonts w:ascii="Times New Roman" w:eastAsia="Times New Roman" w:hAnsi="Times New Roman" w:cs="Times New Roman"/>
          <w:color w:val="212121"/>
          <w:sz w:val="21"/>
          <w:szCs w:val="21"/>
          <w:lang w:eastAsia="hr-HR"/>
        </w:rPr>
        <w:t>stranačkoj pripadnosti članova Općinskog vijeća Općine Kistanje nakon provedenih lokalnih izbora i konstituiranja Općinskog vijeća Općine Kistanje.</w:t>
      </w:r>
    </w:p>
    <w:p w:rsidR="0050315F" w:rsidRPr="0050315F" w:rsidRDefault="0050315F" w:rsidP="00931789">
      <w:pPr>
        <w:shd w:val="clear" w:color="auto" w:fill="FFFFFF"/>
        <w:spacing w:after="150" w:line="240" w:lineRule="auto"/>
        <w:jc w:val="center"/>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Članak 7.</w:t>
      </w:r>
    </w:p>
    <w:p w:rsidR="0050315F" w:rsidRPr="0050315F" w:rsidRDefault="0050315F" w:rsidP="00931789">
      <w:pPr>
        <w:shd w:val="clear" w:color="auto" w:fill="FFFFFF"/>
        <w:spacing w:after="150" w:line="240" w:lineRule="auto"/>
        <w:jc w:val="both"/>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Ukoliko tijekom proračunske godine, pojedini vijećnik/ vijećnica ili više njih, napuste ili promijene članstvo u političkoj stranci, financijska sredstva koja se raspoređuju sukladno ovoj odluci  ostaju političkoj stranci kojoj je zastupnik pripadao u trenutku konstituiranja Općinskog  vijeća.</w:t>
      </w:r>
      <w:r w:rsidRPr="0050315F">
        <w:rPr>
          <w:rFonts w:ascii="Times New Roman" w:eastAsia="Times New Roman" w:hAnsi="Times New Roman" w:cs="Times New Roman"/>
          <w:color w:val="212121"/>
          <w:sz w:val="21"/>
          <w:szCs w:val="21"/>
          <w:lang w:eastAsia="hr-HR"/>
        </w:rPr>
        <w:br/>
        <w:t>U slučaju udruživanja dviju ili više političkih stranaka, financijska sredstva koja se raspoređuju sukladno prethodnom članku ove Odluke, pripadaju političkoj stranci koja je pravni slijednik političkih stranaka koje su udruživanjem prestale postojati.</w:t>
      </w:r>
    </w:p>
    <w:p w:rsidR="0050315F" w:rsidRDefault="0050315F" w:rsidP="00931789">
      <w:pPr>
        <w:shd w:val="clear" w:color="auto" w:fill="FFFFFF"/>
        <w:spacing w:after="150" w:line="240" w:lineRule="auto"/>
        <w:jc w:val="both"/>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Političkoj se stranci u tijeku proračunske godine mogu povećati odnosno smanjiti financijska sredstva propisana ovom Odlukom ukoliko dođe do promjene broja članova Općinskog vijeća iz reda pod zastupljenog spola koje ta politička stranka ima u Općinskom vijeću.</w:t>
      </w:r>
    </w:p>
    <w:p w:rsidR="0050315F" w:rsidRDefault="0050315F" w:rsidP="0050315F">
      <w:pPr>
        <w:shd w:val="clear" w:color="auto" w:fill="FFFFFF"/>
        <w:spacing w:after="150" w:line="240" w:lineRule="auto"/>
        <w:rPr>
          <w:rFonts w:ascii="Times New Roman" w:eastAsia="Times New Roman" w:hAnsi="Times New Roman" w:cs="Times New Roman"/>
          <w:color w:val="212121"/>
          <w:sz w:val="21"/>
          <w:szCs w:val="21"/>
          <w:lang w:eastAsia="hr-HR"/>
        </w:rPr>
      </w:pPr>
    </w:p>
    <w:p w:rsidR="0050315F" w:rsidRDefault="0050315F" w:rsidP="0050315F">
      <w:pPr>
        <w:shd w:val="clear" w:color="auto" w:fill="FFFFFF"/>
        <w:spacing w:after="150" w:line="240" w:lineRule="auto"/>
        <w:rPr>
          <w:rFonts w:ascii="Times New Roman" w:eastAsia="Times New Roman" w:hAnsi="Times New Roman" w:cs="Times New Roman"/>
          <w:color w:val="212121"/>
          <w:sz w:val="21"/>
          <w:szCs w:val="21"/>
          <w:lang w:eastAsia="hr-HR"/>
        </w:rPr>
      </w:pPr>
    </w:p>
    <w:p w:rsidR="0050315F" w:rsidRPr="0050315F" w:rsidRDefault="0050315F" w:rsidP="0050315F">
      <w:pPr>
        <w:shd w:val="clear" w:color="auto" w:fill="FFFFFF"/>
        <w:spacing w:after="150" w:line="240" w:lineRule="auto"/>
        <w:rPr>
          <w:rFonts w:ascii="Times New Roman" w:eastAsia="Times New Roman" w:hAnsi="Times New Roman" w:cs="Times New Roman"/>
          <w:color w:val="212121"/>
          <w:sz w:val="21"/>
          <w:szCs w:val="21"/>
          <w:lang w:eastAsia="hr-HR"/>
        </w:rPr>
      </w:pPr>
    </w:p>
    <w:p w:rsidR="0050315F" w:rsidRPr="0050315F" w:rsidRDefault="0050315F" w:rsidP="0050315F">
      <w:pPr>
        <w:shd w:val="clear" w:color="auto" w:fill="FFFFFF"/>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 xml:space="preserve">                                                                          </w:t>
      </w:r>
      <w:r w:rsidRPr="0050315F">
        <w:rPr>
          <w:rFonts w:ascii="Times New Roman" w:eastAsia="Times New Roman" w:hAnsi="Times New Roman" w:cs="Times New Roman"/>
          <w:b/>
          <w:bCs/>
          <w:color w:val="212121"/>
          <w:sz w:val="21"/>
          <w:szCs w:val="21"/>
          <w:lang w:eastAsia="hr-HR"/>
        </w:rPr>
        <w:t>Članak 8.</w:t>
      </w:r>
    </w:p>
    <w:p w:rsidR="0050315F" w:rsidRPr="0050315F" w:rsidRDefault="0050315F" w:rsidP="0050315F">
      <w:pPr>
        <w:shd w:val="clear" w:color="auto" w:fill="FFFFFF"/>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Političkim strankama i članovima Općinskog vijeća Općine Kistanje izabranih s liste grupe birača zastupljenih u Općinskom vijeću Općine Kistanje  raspoređuju</w:t>
      </w:r>
      <w:r w:rsidR="00B620B2">
        <w:rPr>
          <w:rFonts w:ascii="Times New Roman" w:eastAsia="Times New Roman" w:hAnsi="Times New Roman" w:cs="Times New Roman"/>
          <w:color w:val="212121"/>
          <w:sz w:val="21"/>
          <w:szCs w:val="21"/>
          <w:lang w:eastAsia="hr-HR"/>
        </w:rPr>
        <w:t xml:space="preserve"> se sredstva u Proračunu Općine</w:t>
      </w:r>
      <w:r w:rsidRPr="0050315F">
        <w:rPr>
          <w:rFonts w:ascii="Times New Roman" w:eastAsia="Times New Roman" w:hAnsi="Times New Roman" w:cs="Times New Roman"/>
          <w:color w:val="212121"/>
          <w:sz w:val="21"/>
          <w:szCs w:val="21"/>
          <w:lang w:eastAsia="hr-HR"/>
        </w:rPr>
        <w:t xml:space="preserve"> </w:t>
      </w:r>
      <w:r w:rsidR="00B620B2">
        <w:rPr>
          <w:rFonts w:ascii="Times New Roman" w:eastAsia="Times New Roman" w:hAnsi="Times New Roman" w:cs="Times New Roman"/>
          <w:color w:val="212121"/>
          <w:sz w:val="21"/>
          <w:szCs w:val="21"/>
          <w:lang w:eastAsia="hr-HR"/>
        </w:rPr>
        <w:t>Kistanje za 2019</w:t>
      </w:r>
      <w:r w:rsidRPr="0050315F">
        <w:rPr>
          <w:rFonts w:ascii="Times New Roman" w:eastAsia="Times New Roman" w:hAnsi="Times New Roman" w:cs="Times New Roman"/>
          <w:color w:val="212121"/>
          <w:sz w:val="21"/>
          <w:szCs w:val="21"/>
          <w:lang w:eastAsia="hr-HR"/>
        </w:rPr>
        <w:t>.godinu na način utvrđen u članku 3. i 5.ove Odluke u iznosima kako slijedi:</w:t>
      </w:r>
    </w:p>
    <w:tbl>
      <w:tblPr>
        <w:tblW w:w="0" w:type="auto"/>
        <w:shd w:val="clear" w:color="auto" w:fill="FFFFFF"/>
        <w:tblCellMar>
          <w:left w:w="0" w:type="dxa"/>
          <w:right w:w="0" w:type="dxa"/>
        </w:tblCellMar>
        <w:tblLook w:val="04A0" w:firstRow="1" w:lastRow="0" w:firstColumn="1" w:lastColumn="0" w:noHBand="0" w:noVBand="1"/>
      </w:tblPr>
      <w:tblGrid>
        <w:gridCol w:w="692"/>
        <w:gridCol w:w="1547"/>
        <w:gridCol w:w="746"/>
        <w:gridCol w:w="886"/>
        <w:gridCol w:w="1035"/>
        <w:gridCol w:w="1035"/>
        <w:gridCol w:w="1728"/>
        <w:gridCol w:w="1703"/>
      </w:tblGrid>
      <w:tr w:rsidR="00D57B3F" w:rsidRPr="0050315F" w:rsidTr="0050315F">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Red.</w:t>
            </w:r>
          </w:p>
        </w:tc>
        <w:tc>
          <w:tcPr>
            <w:tcW w:w="0" w:type="auto"/>
            <w:vMerge w:val="restart"/>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Politička stranka</w:t>
            </w:r>
          </w:p>
        </w:tc>
        <w:tc>
          <w:tcPr>
            <w:tcW w:w="0" w:type="auto"/>
            <w:gridSpan w:val="2"/>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Broj vijećnika/ca</w:t>
            </w:r>
          </w:p>
        </w:tc>
        <w:tc>
          <w:tcPr>
            <w:tcW w:w="0" w:type="auto"/>
            <w:gridSpan w:val="2"/>
            <w:tcBorders>
              <w:top w:val="single" w:sz="6" w:space="0" w:color="DDDDDD"/>
            </w:tcBorders>
            <w:shd w:val="clear" w:color="auto" w:fill="FFFFFF"/>
            <w:tcMar>
              <w:top w:w="150" w:type="dxa"/>
              <w:left w:w="150" w:type="dxa"/>
              <w:bottom w:w="150" w:type="dxa"/>
              <w:right w:w="150" w:type="dxa"/>
            </w:tcMar>
            <w:hideMark/>
          </w:tcPr>
          <w:p w:rsidR="0050315F" w:rsidRPr="0050315F" w:rsidRDefault="004C66C0" w:rsidP="0050315F">
            <w:pPr>
              <w:spacing w:after="150" w:line="240" w:lineRule="auto"/>
              <w:rPr>
                <w:rFonts w:ascii="Times New Roman" w:eastAsia="Times New Roman" w:hAnsi="Times New Roman" w:cs="Times New Roman"/>
                <w:color w:val="212121"/>
                <w:sz w:val="21"/>
                <w:szCs w:val="21"/>
                <w:lang w:eastAsia="hr-HR"/>
              </w:rPr>
            </w:pPr>
            <w:r>
              <w:rPr>
                <w:rFonts w:ascii="Times New Roman" w:eastAsia="Times New Roman" w:hAnsi="Times New Roman" w:cs="Times New Roman"/>
                <w:color w:val="212121"/>
                <w:sz w:val="21"/>
                <w:szCs w:val="21"/>
                <w:lang w:eastAsia="hr-HR"/>
              </w:rPr>
              <w:t>Trom</w:t>
            </w:r>
            <w:r w:rsidR="0050315F" w:rsidRPr="0050315F">
              <w:rPr>
                <w:rFonts w:ascii="Times New Roman" w:eastAsia="Times New Roman" w:hAnsi="Times New Roman" w:cs="Times New Roman"/>
                <w:color w:val="212121"/>
                <w:sz w:val="21"/>
                <w:szCs w:val="21"/>
                <w:lang w:eastAsia="hr-HR"/>
              </w:rPr>
              <w:t>jesečni iznos</w:t>
            </w:r>
          </w:p>
        </w:tc>
        <w:tc>
          <w:tcPr>
            <w:tcW w:w="0" w:type="auto"/>
            <w:vMerge w:val="restart"/>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D57B3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 xml:space="preserve">Ukupno </w:t>
            </w:r>
            <w:r w:rsidR="00D57B3F">
              <w:rPr>
                <w:rFonts w:ascii="Times New Roman" w:eastAsia="Times New Roman" w:hAnsi="Times New Roman" w:cs="Times New Roman"/>
                <w:color w:val="212121"/>
                <w:sz w:val="21"/>
                <w:szCs w:val="21"/>
                <w:lang w:eastAsia="hr-HR"/>
              </w:rPr>
              <w:t>tromjesečno</w:t>
            </w:r>
          </w:p>
        </w:tc>
        <w:tc>
          <w:tcPr>
            <w:tcW w:w="0" w:type="auto"/>
            <w:vMerge w:val="restart"/>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Ukupno za razdoblje</w:t>
            </w:r>
            <w:r w:rsidRPr="0050315F">
              <w:rPr>
                <w:rFonts w:ascii="Times New Roman" w:eastAsia="Times New Roman" w:hAnsi="Times New Roman" w:cs="Times New Roman"/>
                <w:color w:val="212121"/>
                <w:sz w:val="21"/>
                <w:szCs w:val="21"/>
                <w:lang w:eastAsia="hr-HR"/>
              </w:rPr>
              <w:br/>
              <w:t>I-XII/2019.g.</w:t>
            </w:r>
          </w:p>
        </w:tc>
      </w:tr>
      <w:tr w:rsidR="00D57B3F" w:rsidRPr="0050315F" w:rsidTr="0050315F">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Broj</w:t>
            </w:r>
          </w:p>
        </w:tc>
        <w:tc>
          <w:tcPr>
            <w:tcW w:w="0" w:type="auto"/>
            <w:vMerge/>
            <w:tcBorders>
              <w:top w:val="single" w:sz="6" w:space="0" w:color="DDDDDD"/>
            </w:tcBorders>
            <w:shd w:val="clear" w:color="auto" w:fill="FFFFFF"/>
            <w:vAlign w:val="center"/>
            <w:hideMark/>
          </w:tcPr>
          <w:p w:rsidR="0050315F" w:rsidRPr="0050315F" w:rsidRDefault="0050315F" w:rsidP="0050315F">
            <w:pPr>
              <w:spacing w:after="0" w:line="240" w:lineRule="auto"/>
              <w:rPr>
                <w:rFonts w:ascii="Times New Roman" w:eastAsia="Times New Roman" w:hAnsi="Times New Roman" w:cs="Times New Roman"/>
                <w:color w:val="212121"/>
                <w:sz w:val="21"/>
                <w:szCs w:val="21"/>
                <w:lang w:eastAsia="hr-HR"/>
              </w:rPr>
            </w:pP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žene</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muški</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žene</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muški</w:t>
            </w:r>
          </w:p>
        </w:tc>
        <w:tc>
          <w:tcPr>
            <w:tcW w:w="0" w:type="auto"/>
            <w:vMerge/>
            <w:tcBorders>
              <w:top w:val="single" w:sz="6" w:space="0" w:color="DDDDDD"/>
            </w:tcBorders>
            <w:shd w:val="clear" w:color="auto" w:fill="FFFFFF"/>
            <w:vAlign w:val="center"/>
            <w:hideMark/>
          </w:tcPr>
          <w:p w:rsidR="0050315F" w:rsidRPr="0050315F" w:rsidRDefault="0050315F" w:rsidP="0050315F">
            <w:pPr>
              <w:spacing w:after="0" w:line="240" w:lineRule="auto"/>
              <w:rPr>
                <w:rFonts w:ascii="Times New Roman" w:eastAsia="Times New Roman" w:hAnsi="Times New Roman" w:cs="Times New Roman"/>
                <w:color w:val="212121"/>
                <w:sz w:val="21"/>
                <w:szCs w:val="21"/>
                <w:lang w:eastAsia="hr-HR"/>
              </w:rPr>
            </w:pPr>
          </w:p>
        </w:tc>
        <w:tc>
          <w:tcPr>
            <w:tcW w:w="0" w:type="auto"/>
            <w:vMerge/>
            <w:tcBorders>
              <w:top w:val="single" w:sz="6" w:space="0" w:color="DDDDDD"/>
            </w:tcBorders>
            <w:shd w:val="clear" w:color="auto" w:fill="FFFFFF"/>
            <w:vAlign w:val="center"/>
            <w:hideMark/>
          </w:tcPr>
          <w:p w:rsidR="0050315F" w:rsidRPr="0050315F" w:rsidRDefault="0050315F" w:rsidP="0050315F">
            <w:pPr>
              <w:spacing w:after="0" w:line="240" w:lineRule="auto"/>
              <w:rPr>
                <w:rFonts w:ascii="Times New Roman" w:eastAsia="Times New Roman" w:hAnsi="Times New Roman" w:cs="Times New Roman"/>
                <w:color w:val="212121"/>
                <w:sz w:val="21"/>
                <w:szCs w:val="21"/>
                <w:lang w:eastAsia="hr-HR"/>
              </w:rPr>
            </w:pPr>
          </w:p>
        </w:tc>
      </w:tr>
      <w:tr w:rsidR="00D57B3F" w:rsidRPr="0050315F" w:rsidTr="0050315F">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1</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SDSS</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jc w:val="right"/>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3</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jc w:val="right"/>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6</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4C66C0" w:rsidP="0050315F">
            <w:pPr>
              <w:spacing w:after="150" w:line="240" w:lineRule="auto"/>
              <w:jc w:val="right"/>
              <w:rPr>
                <w:rFonts w:ascii="Times New Roman" w:eastAsia="Times New Roman" w:hAnsi="Times New Roman" w:cs="Times New Roman"/>
                <w:color w:val="212121"/>
                <w:sz w:val="21"/>
                <w:szCs w:val="21"/>
                <w:lang w:eastAsia="hr-HR"/>
              </w:rPr>
            </w:pPr>
            <w:r>
              <w:rPr>
                <w:rFonts w:ascii="Times New Roman" w:eastAsia="Times New Roman" w:hAnsi="Times New Roman" w:cs="Times New Roman"/>
                <w:b/>
                <w:bCs/>
                <w:color w:val="212121"/>
                <w:sz w:val="21"/>
                <w:szCs w:val="21"/>
                <w:lang w:eastAsia="hr-HR"/>
              </w:rPr>
              <w:t>3.101,50</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D57B3F" w:rsidRDefault="00D57B3F" w:rsidP="0050315F">
            <w:pPr>
              <w:spacing w:after="150" w:line="240" w:lineRule="auto"/>
              <w:jc w:val="right"/>
              <w:rPr>
                <w:rFonts w:ascii="Times New Roman" w:eastAsia="Times New Roman" w:hAnsi="Times New Roman" w:cs="Times New Roman"/>
                <w:b/>
                <w:color w:val="212121"/>
                <w:sz w:val="21"/>
                <w:szCs w:val="21"/>
                <w:lang w:eastAsia="hr-HR"/>
              </w:rPr>
            </w:pPr>
            <w:r w:rsidRPr="00D57B3F">
              <w:rPr>
                <w:rFonts w:ascii="Times New Roman" w:eastAsia="Times New Roman" w:hAnsi="Times New Roman" w:cs="Times New Roman"/>
                <w:b/>
                <w:color w:val="212121"/>
                <w:sz w:val="21"/>
                <w:szCs w:val="21"/>
                <w:lang w:eastAsia="hr-HR"/>
              </w:rPr>
              <w:t>5.639,00</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B620B2" w:rsidP="0050315F">
            <w:pPr>
              <w:spacing w:after="150" w:line="240" w:lineRule="auto"/>
              <w:jc w:val="right"/>
              <w:rPr>
                <w:rFonts w:ascii="Times New Roman" w:eastAsia="Times New Roman" w:hAnsi="Times New Roman" w:cs="Times New Roman"/>
                <w:color w:val="212121"/>
                <w:sz w:val="21"/>
                <w:szCs w:val="21"/>
                <w:lang w:eastAsia="hr-HR"/>
              </w:rPr>
            </w:pPr>
            <w:r>
              <w:rPr>
                <w:rFonts w:ascii="Times New Roman" w:eastAsia="Times New Roman" w:hAnsi="Times New Roman" w:cs="Times New Roman"/>
                <w:b/>
                <w:bCs/>
                <w:color w:val="212121"/>
                <w:sz w:val="21"/>
                <w:szCs w:val="21"/>
                <w:lang w:eastAsia="hr-HR"/>
              </w:rPr>
              <w:t>8.740,5</w:t>
            </w:r>
            <w:r w:rsidR="0050315F" w:rsidRPr="0050315F">
              <w:rPr>
                <w:rFonts w:ascii="Times New Roman" w:eastAsia="Times New Roman" w:hAnsi="Times New Roman" w:cs="Times New Roman"/>
                <w:b/>
                <w:bCs/>
                <w:color w:val="212121"/>
                <w:sz w:val="21"/>
                <w:szCs w:val="21"/>
                <w:lang w:eastAsia="hr-HR"/>
              </w:rPr>
              <w:t>0</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B620B2" w:rsidP="0050315F">
            <w:pPr>
              <w:spacing w:after="150" w:line="240" w:lineRule="auto"/>
              <w:jc w:val="right"/>
              <w:rPr>
                <w:rFonts w:ascii="Times New Roman" w:eastAsia="Times New Roman" w:hAnsi="Times New Roman" w:cs="Times New Roman"/>
                <w:color w:val="212121"/>
                <w:sz w:val="21"/>
                <w:szCs w:val="21"/>
                <w:lang w:eastAsia="hr-HR"/>
              </w:rPr>
            </w:pPr>
            <w:r>
              <w:rPr>
                <w:rFonts w:ascii="Times New Roman" w:eastAsia="Times New Roman" w:hAnsi="Times New Roman" w:cs="Times New Roman"/>
                <w:b/>
                <w:bCs/>
                <w:color w:val="212121"/>
                <w:sz w:val="21"/>
                <w:szCs w:val="21"/>
                <w:lang w:eastAsia="hr-HR"/>
              </w:rPr>
              <w:t>34.962,0</w:t>
            </w:r>
            <w:r w:rsidR="0050315F" w:rsidRPr="0050315F">
              <w:rPr>
                <w:rFonts w:ascii="Times New Roman" w:eastAsia="Times New Roman" w:hAnsi="Times New Roman" w:cs="Times New Roman"/>
                <w:b/>
                <w:bCs/>
                <w:color w:val="212121"/>
                <w:sz w:val="21"/>
                <w:szCs w:val="21"/>
                <w:lang w:eastAsia="hr-HR"/>
              </w:rPr>
              <w:t>0</w:t>
            </w:r>
          </w:p>
        </w:tc>
      </w:tr>
      <w:tr w:rsidR="00D57B3F" w:rsidRPr="0050315F" w:rsidTr="0050315F">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2</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HDZ</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jc w:val="right"/>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0</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jc w:val="right"/>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3</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jc w:val="right"/>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0</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D57B3F" w:rsidP="0050315F">
            <w:pPr>
              <w:spacing w:after="150" w:line="240" w:lineRule="auto"/>
              <w:jc w:val="right"/>
              <w:rPr>
                <w:rFonts w:ascii="Times New Roman" w:eastAsia="Times New Roman" w:hAnsi="Times New Roman" w:cs="Times New Roman"/>
                <w:color w:val="212121"/>
                <w:sz w:val="21"/>
                <w:szCs w:val="21"/>
                <w:lang w:eastAsia="hr-HR"/>
              </w:rPr>
            </w:pPr>
            <w:r>
              <w:rPr>
                <w:rFonts w:ascii="Times New Roman" w:eastAsia="Times New Roman" w:hAnsi="Times New Roman" w:cs="Times New Roman"/>
                <w:b/>
                <w:bCs/>
                <w:color w:val="212121"/>
                <w:sz w:val="21"/>
                <w:szCs w:val="21"/>
                <w:lang w:eastAsia="hr-HR"/>
              </w:rPr>
              <w:t>2.819,50</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B620B2" w:rsidP="0050315F">
            <w:pPr>
              <w:spacing w:after="150" w:line="240" w:lineRule="auto"/>
              <w:jc w:val="right"/>
              <w:rPr>
                <w:rFonts w:ascii="Times New Roman" w:eastAsia="Times New Roman" w:hAnsi="Times New Roman" w:cs="Times New Roman"/>
                <w:color w:val="212121"/>
                <w:sz w:val="21"/>
                <w:szCs w:val="21"/>
                <w:lang w:eastAsia="hr-HR"/>
              </w:rPr>
            </w:pPr>
            <w:r>
              <w:rPr>
                <w:rFonts w:ascii="Times New Roman" w:eastAsia="Times New Roman" w:hAnsi="Times New Roman" w:cs="Times New Roman"/>
                <w:b/>
                <w:bCs/>
                <w:color w:val="212121"/>
                <w:sz w:val="21"/>
                <w:szCs w:val="21"/>
                <w:lang w:eastAsia="hr-HR"/>
              </w:rPr>
              <w:t>2.819,5</w:t>
            </w:r>
            <w:r w:rsidR="0050315F" w:rsidRPr="0050315F">
              <w:rPr>
                <w:rFonts w:ascii="Times New Roman" w:eastAsia="Times New Roman" w:hAnsi="Times New Roman" w:cs="Times New Roman"/>
                <w:b/>
                <w:bCs/>
                <w:color w:val="212121"/>
                <w:sz w:val="21"/>
                <w:szCs w:val="21"/>
                <w:lang w:eastAsia="hr-HR"/>
              </w:rPr>
              <w:t>0</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B620B2" w:rsidP="0050315F">
            <w:pPr>
              <w:spacing w:after="150" w:line="240" w:lineRule="auto"/>
              <w:jc w:val="right"/>
              <w:rPr>
                <w:rFonts w:ascii="Times New Roman" w:eastAsia="Times New Roman" w:hAnsi="Times New Roman" w:cs="Times New Roman"/>
                <w:color w:val="212121"/>
                <w:sz w:val="21"/>
                <w:szCs w:val="21"/>
                <w:lang w:eastAsia="hr-HR"/>
              </w:rPr>
            </w:pPr>
            <w:r>
              <w:rPr>
                <w:rFonts w:ascii="Times New Roman" w:eastAsia="Times New Roman" w:hAnsi="Times New Roman" w:cs="Times New Roman"/>
                <w:b/>
                <w:bCs/>
                <w:color w:val="212121"/>
                <w:sz w:val="21"/>
                <w:szCs w:val="21"/>
                <w:lang w:eastAsia="hr-HR"/>
              </w:rPr>
              <w:t>11.278</w:t>
            </w:r>
            <w:r w:rsidR="0050315F" w:rsidRPr="0050315F">
              <w:rPr>
                <w:rFonts w:ascii="Times New Roman" w:eastAsia="Times New Roman" w:hAnsi="Times New Roman" w:cs="Times New Roman"/>
                <w:b/>
                <w:bCs/>
                <w:color w:val="212121"/>
                <w:sz w:val="21"/>
                <w:szCs w:val="21"/>
                <w:lang w:eastAsia="hr-HR"/>
              </w:rPr>
              <w:t>,00</w:t>
            </w:r>
          </w:p>
        </w:tc>
      </w:tr>
      <w:tr w:rsidR="00D57B3F" w:rsidRPr="0050315F" w:rsidTr="0050315F">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3</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Lista grupe birača</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jc w:val="right"/>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0</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jc w:val="right"/>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1</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jc w:val="right"/>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0</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D57B3F" w:rsidP="0050315F">
            <w:pPr>
              <w:spacing w:after="150" w:line="240" w:lineRule="auto"/>
              <w:jc w:val="right"/>
              <w:rPr>
                <w:rFonts w:ascii="Times New Roman" w:eastAsia="Times New Roman" w:hAnsi="Times New Roman" w:cs="Times New Roman"/>
                <w:color w:val="212121"/>
                <w:sz w:val="21"/>
                <w:szCs w:val="21"/>
                <w:lang w:eastAsia="hr-HR"/>
              </w:rPr>
            </w:pPr>
            <w:r>
              <w:rPr>
                <w:rFonts w:ascii="Times New Roman" w:eastAsia="Times New Roman" w:hAnsi="Times New Roman" w:cs="Times New Roman"/>
                <w:b/>
                <w:bCs/>
                <w:color w:val="212121"/>
                <w:sz w:val="21"/>
                <w:szCs w:val="21"/>
                <w:lang w:eastAsia="hr-HR"/>
              </w:rPr>
              <w:t>940,</w:t>
            </w:r>
            <w:r w:rsidR="0050315F" w:rsidRPr="0050315F">
              <w:rPr>
                <w:rFonts w:ascii="Times New Roman" w:eastAsia="Times New Roman" w:hAnsi="Times New Roman" w:cs="Times New Roman"/>
                <w:b/>
                <w:bCs/>
                <w:color w:val="212121"/>
                <w:sz w:val="21"/>
                <w:szCs w:val="21"/>
                <w:lang w:eastAsia="hr-HR"/>
              </w:rPr>
              <w:t>00</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B620B2" w:rsidP="0050315F">
            <w:pPr>
              <w:spacing w:after="150" w:line="240" w:lineRule="auto"/>
              <w:jc w:val="right"/>
              <w:rPr>
                <w:rFonts w:ascii="Times New Roman" w:eastAsia="Times New Roman" w:hAnsi="Times New Roman" w:cs="Times New Roman"/>
                <w:color w:val="212121"/>
                <w:sz w:val="21"/>
                <w:szCs w:val="21"/>
                <w:lang w:eastAsia="hr-HR"/>
              </w:rPr>
            </w:pPr>
            <w:r>
              <w:rPr>
                <w:rFonts w:ascii="Times New Roman" w:eastAsia="Times New Roman" w:hAnsi="Times New Roman" w:cs="Times New Roman"/>
                <w:b/>
                <w:bCs/>
                <w:color w:val="212121"/>
                <w:sz w:val="21"/>
                <w:szCs w:val="21"/>
                <w:lang w:eastAsia="hr-HR"/>
              </w:rPr>
              <w:t>940</w:t>
            </w:r>
            <w:r w:rsidR="0050315F" w:rsidRPr="0050315F">
              <w:rPr>
                <w:rFonts w:ascii="Times New Roman" w:eastAsia="Times New Roman" w:hAnsi="Times New Roman" w:cs="Times New Roman"/>
                <w:b/>
                <w:bCs/>
                <w:color w:val="212121"/>
                <w:sz w:val="21"/>
                <w:szCs w:val="21"/>
                <w:lang w:eastAsia="hr-HR"/>
              </w:rPr>
              <w:t>,00</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B620B2">
            <w:pPr>
              <w:spacing w:after="150" w:line="240" w:lineRule="auto"/>
              <w:jc w:val="right"/>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3.</w:t>
            </w:r>
            <w:r w:rsidR="00B620B2">
              <w:rPr>
                <w:rFonts w:ascii="Times New Roman" w:eastAsia="Times New Roman" w:hAnsi="Times New Roman" w:cs="Times New Roman"/>
                <w:b/>
                <w:bCs/>
                <w:color w:val="212121"/>
                <w:sz w:val="21"/>
                <w:szCs w:val="21"/>
                <w:lang w:eastAsia="hr-HR"/>
              </w:rPr>
              <w:t>760</w:t>
            </w:r>
            <w:r w:rsidRPr="0050315F">
              <w:rPr>
                <w:rFonts w:ascii="Times New Roman" w:eastAsia="Times New Roman" w:hAnsi="Times New Roman" w:cs="Times New Roman"/>
                <w:b/>
                <w:bCs/>
                <w:color w:val="212121"/>
                <w:sz w:val="21"/>
                <w:szCs w:val="21"/>
                <w:lang w:eastAsia="hr-HR"/>
              </w:rPr>
              <w:t>,00</w:t>
            </w:r>
          </w:p>
        </w:tc>
      </w:tr>
      <w:tr w:rsidR="0050315F" w:rsidRPr="0050315F" w:rsidTr="0050315F">
        <w:tc>
          <w:tcPr>
            <w:tcW w:w="0" w:type="auto"/>
            <w:gridSpan w:val="4"/>
            <w:tcBorders>
              <w:top w:val="single" w:sz="6" w:space="0" w:color="DDDDDD"/>
            </w:tcBorders>
            <w:shd w:val="clear" w:color="auto" w:fill="FFFFFF"/>
            <w:tcMar>
              <w:top w:w="150" w:type="dxa"/>
              <w:left w:w="150" w:type="dxa"/>
              <w:bottom w:w="150" w:type="dxa"/>
              <w:right w:w="150" w:type="dxa"/>
            </w:tcMar>
            <w:hideMark/>
          </w:tcPr>
          <w:p w:rsidR="0050315F" w:rsidRPr="0050315F" w:rsidRDefault="0050315F" w:rsidP="0050315F">
            <w:pPr>
              <w:spacing w:after="150" w:line="240" w:lineRule="auto"/>
              <w:jc w:val="right"/>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UKUPNO:</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B620B2" w:rsidP="0050315F">
            <w:pPr>
              <w:spacing w:after="150" w:line="240" w:lineRule="auto"/>
              <w:jc w:val="right"/>
              <w:rPr>
                <w:rFonts w:ascii="Times New Roman" w:eastAsia="Times New Roman" w:hAnsi="Times New Roman" w:cs="Times New Roman"/>
                <w:color w:val="212121"/>
                <w:sz w:val="21"/>
                <w:szCs w:val="21"/>
                <w:lang w:eastAsia="hr-HR"/>
              </w:rPr>
            </w:pPr>
            <w:r>
              <w:rPr>
                <w:rFonts w:ascii="Times New Roman" w:eastAsia="Times New Roman" w:hAnsi="Times New Roman" w:cs="Times New Roman"/>
                <w:b/>
                <w:bCs/>
                <w:color w:val="212121"/>
                <w:sz w:val="21"/>
                <w:szCs w:val="21"/>
                <w:lang w:eastAsia="hr-HR"/>
              </w:rPr>
              <w:t>3.101,5</w:t>
            </w:r>
            <w:r w:rsidR="0050315F" w:rsidRPr="0050315F">
              <w:rPr>
                <w:rFonts w:ascii="Times New Roman" w:eastAsia="Times New Roman" w:hAnsi="Times New Roman" w:cs="Times New Roman"/>
                <w:b/>
                <w:bCs/>
                <w:color w:val="212121"/>
                <w:sz w:val="21"/>
                <w:szCs w:val="21"/>
                <w:lang w:eastAsia="hr-HR"/>
              </w:rPr>
              <w:t>0</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B620B2" w:rsidP="0050315F">
            <w:pPr>
              <w:spacing w:after="150" w:line="240" w:lineRule="auto"/>
              <w:jc w:val="right"/>
              <w:rPr>
                <w:rFonts w:ascii="Times New Roman" w:eastAsia="Times New Roman" w:hAnsi="Times New Roman" w:cs="Times New Roman"/>
                <w:color w:val="212121"/>
                <w:sz w:val="21"/>
                <w:szCs w:val="21"/>
                <w:lang w:eastAsia="hr-HR"/>
              </w:rPr>
            </w:pPr>
            <w:r>
              <w:rPr>
                <w:rFonts w:ascii="Times New Roman" w:eastAsia="Times New Roman" w:hAnsi="Times New Roman" w:cs="Times New Roman"/>
                <w:b/>
                <w:bCs/>
                <w:color w:val="212121"/>
                <w:sz w:val="21"/>
                <w:szCs w:val="21"/>
                <w:lang w:eastAsia="hr-HR"/>
              </w:rPr>
              <w:t>9.398,5</w:t>
            </w:r>
            <w:r w:rsidR="0050315F" w:rsidRPr="0050315F">
              <w:rPr>
                <w:rFonts w:ascii="Times New Roman" w:eastAsia="Times New Roman" w:hAnsi="Times New Roman" w:cs="Times New Roman"/>
                <w:b/>
                <w:bCs/>
                <w:color w:val="212121"/>
                <w:sz w:val="21"/>
                <w:szCs w:val="21"/>
                <w:lang w:eastAsia="hr-HR"/>
              </w:rPr>
              <w:t>0</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B620B2" w:rsidP="0050315F">
            <w:pPr>
              <w:spacing w:after="150" w:line="240" w:lineRule="auto"/>
              <w:jc w:val="right"/>
              <w:rPr>
                <w:rFonts w:ascii="Times New Roman" w:eastAsia="Times New Roman" w:hAnsi="Times New Roman" w:cs="Times New Roman"/>
                <w:color w:val="212121"/>
                <w:sz w:val="21"/>
                <w:szCs w:val="21"/>
                <w:lang w:eastAsia="hr-HR"/>
              </w:rPr>
            </w:pPr>
            <w:r>
              <w:rPr>
                <w:rFonts w:ascii="Times New Roman" w:eastAsia="Times New Roman" w:hAnsi="Times New Roman" w:cs="Times New Roman"/>
                <w:b/>
                <w:bCs/>
                <w:color w:val="212121"/>
                <w:sz w:val="21"/>
                <w:szCs w:val="21"/>
                <w:lang w:eastAsia="hr-HR"/>
              </w:rPr>
              <w:t>12.500,0</w:t>
            </w:r>
            <w:r w:rsidR="0050315F" w:rsidRPr="0050315F">
              <w:rPr>
                <w:rFonts w:ascii="Times New Roman" w:eastAsia="Times New Roman" w:hAnsi="Times New Roman" w:cs="Times New Roman"/>
                <w:b/>
                <w:bCs/>
                <w:color w:val="212121"/>
                <w:sz w:val="21"/>
                <w:szCs w:val="21"/>
                <w:lang w:eastAsia="hr-HR"/>
              </w:rPr>
              <w:t>0</w:t>
            </w:r>
          </w:p>
        </w:tc>
        <w:tc>
          <w:tcPr>
            <w:tcW w:w="0" w:type="auto"/>
            <w:tcBorders>
              <w:top w:val="single" w:sz="6" w:space="0" w:color="DDDDDD"/>
            </w:tcBorders>
            <w:shd w:val="clear" w:color="auto" w:fill="FFFFFF"/>
            <w:tcMar>
              <w:top w:w="150" w:type="dxa"/>
              <w:left w:w="150" w:type="dxa"/>
              <w:bottom w:w="150" w:type="dxa"/>
              <w:right w:w="150" w:type="dxa"/>
            </w:tcMar>
            <w:hideMark/>
          </w:tcPr>
          <w:p w:rsidR="0050315F" w:rsidRPr="0050315F" w:rsidRDefault="00B620B2" w:rsidP="0050315F">
            <w:pPr>
              <w:spacing w:after="150" w:line="240" w:lineRule="auto"/>
              <w:jc w:val="right"/>
              <w:rPr>
                <w:rFonts w:ascii="Times New Roman" w:eastAsia="Times New Roman" w:hAnsi="Times New Roman" w:cs="Times New Roman"/>
                <w:color w:val="212121"/>
                <w:sz w:val="21"/>
                <w:szCs w:val="21"/>
                <w:lang w:eastAsia="hr-HR"/>
              </w:rPr>
            </w:pPr>
            <w:r>
              <w:rPr>
                <w:rFonts w:ascii="Times New Roman" w:eastAsia="Times New Roman" w:hAnsi="Times New Roman" w:cs="Times New Roman"/>
                <w:b/>
                <w:bCs/>
                <w:color w:val="212121"/>
                <w:sz w:val="21"/>
                <w:szCs w:val="21"/>
                <w:lang w:eastAsia="hr-HR"/>
              </w:rPr>
              <w:t>50.000,0</w:t>
            </w:r>
            <w:r w:rsidR="0050315F" w:rsidRPr="0050315F">
              <w:rPr>
                <w:rFonts w:ascii="Times New Roman" w:eastAsia="Times New Roman" w:hAnsi="Times New Roman" w:cs="Times New Roman"/>
                <w:b/>
                <w:bCs/>
                <w:color w:val="212121"/>
                <w:sz w:val="21"/>
                <w:szCs w:val="21"/>
                <w:lang w:eastAsia="hr-HR"/>
              </w:rPr>
              <w:t>0</w:t>
            </w:r>
          </w:p>
        </w:tc>
      </w:tr>
    </w:tbl>
    <w:p w:rsidR="0050315F" w:rsidRDefault="0050315F" w:rsidP="0050315F">
      <w:pPr>
        <w:shd w:val="clear" w:color="auto" w:fill="FFFFFF"/>
        <w:spacing w:after="150" w:line="240" w:lineRule="auto"/>
        <w:jc w:val="center"/>
        <w:rPr>
          <w:rFonts w:ascii="Times New Roman" w:eastAsia="Times New Roman" w:hAnsi="Times New Roman" w:cs="Times New Roman"/>
          <w:b/>
          <w:bCs/>
          <w:color w:val="212121"/>
          <w:sz w:val="21"/>
          <w:szCs w:val="21"/>
          <w:lang w:eastAsia="hr-HR"/>
        </w:rPr>
      </w:pPr>
    </w:p>
    <w:p w:rsidR="0050315F" w:rsidRDefault="0050315F" w:rsidP="0050315F">
      <w:pPr>
        <w:shd w:val="clear" w:color="auto" w:fill="FFFFFF"/>
        <w:spacing w:after="150" w:line="240" w:lineRule="auto"/>
        <w:jc w:val="center"/>
        <w:rPr>
          <w:rFonts w:ascii="Times New Roman" w:eastAsia="Times New Roman" w:hAnsi="Times New Roman" w:cs="Times New Roman"/>
          <w:b/>
          <w:bCs/>
          <w:color w:val="212121"/>
          <w:sz w:val="21"/>
          <w:szCs w:val="21"/>
          <w:lang w:eastAsia="hr-HR"/>
        </w:rPr>
      </w:pPr>
    </w:p>
    <w:p w:rsidR="0050315F" w:rsidRPr="0050315F" w:rsidRDefault="0050315F" w:rsidP="0050315F">
      <w:pPr>
        <w:shd w:val="clear" w:color="auto" w:fill="FFFFFF"/>
        <w:spacing w:after="150" w:line="240" w:lineRule="auto"/>
        <w:jc w:val="center"/>
        <w:rPr>
          <w:rFonts w:ascii="Times New Roman" w:eastAsia="Times New Roman" w:hAnsi="Times New Roman" w:cs="Times New Roman"/>
          <w:b/>
          <w:bCs/>
          <w:color w:val="212121"/>
          <w:sz w:val="21"/>
          <w:szCs w:val="21"/>
          <w:lang w:eastAsia="hr-HR"/>
        </w:rPr>
      </w:pPr>
      <w:r w:rsidRPr="0050315F">
        <w:rPr>
          <w:rFonts w:ascii="Times New Roman" w:eastAsia="Times New Roman" w:hAnsi="Times New Roman" w:cs="Times New Roman"/>
          <w:b/>
          <w:bCs/>
          <w:color w:val="212121"/>
          <w:sz w:val="21"/>
          <w:szCs w:val="21"/>
          <w:lang w:eastAsia="hr-HR"/>
        </w:rPr>
        <w:t>Članak 9.</w:t>
      </w:r>
    </w:p>
    <w:p w:rsidR="0050315F" w:rsidRDefault="0050315F" w:rsidP="0050315F">
      <w:pPr>
        <w:shd w:val="clear" w:color="auto" w:fill="FFFFFF"/>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Sredstva  iz ove Odluke  doznačuju se na žiro račun  političke stranke-ogranka političke stranke otvoren za njezino redovito financiranje djelatnosti, odnosno na poseban račun člana Općinskog vijeća Općine Kistanje izabranog s liste grupe birača otvoren za njegovo redovito financiranje , tromjesečno u jednakim iznosima, o čemu političke stranke odnosno izabrani član Općinskog vijeća Općine Kistanje s liste grupe birača  pismeno obavještava  Jedinstveni upravni odjel Općine Kistanje .</w:t>
      </w:r>
    </w:p>
    <w:p w:rsidR="0050315F" w:rsidRPr="0050315F" w:rsidRDefault="0050315F" w:rsidP="0050315F">
      <w:pPr>
        <w:shd w:val="clear" w:color="auto" w:fill="FFFFFF"/>
        <w:spacing w:after="150" w:line="240" w:lineRule="auto"/>
        <w:rPr>
          <w:rFonts w:ascii="Times New Roman" w:eastAsia="Times New Roman" w:hAnsi="Times New Roman" w:cs="Times New Roman"/>
          <w:color w:val="212121"/>
          <w:sz w:val="21"/>
          <w:szCs w:val="21"/>
          <w:lang w:eastAsia="hr-HR"/>
        </w:rPr>
      </w:pPr>
    </w:p>
    <w:p w:rsidR="0050315F" w:rsidRPr="0050315F" w:rsidRDefault="0050315F" w:rsidP="0050315F">
      <w:pPr>
        <w:shd w:val="clear" w:color="auto" w:fill="FFFFFF"/>
        <w:spacing w:after="150" w:line="240" w:lineRule="auto"/>
        <w:jc w:val="center"/>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b/>
          <w:bCs/>
          <w:color w:val="212121"/>
          <w:sz w:val="21"/>
          <w:szCs w:val="21"/>
          <w:lang w:eastAsia="hr-HR"/>
        </w:rPr>
        <w:t>Članak 10.</w:t>
      </w:r>
    </w:p>
    <w:p w:rsidR="0050315F" w:rsidRPr="0050315F" w:rsidRDefault="00931789" w:rsidP="0050315F">
      <w:pPr>
        <w:shd w:val="clear" w:color="auto" w:fill="FFFFFF"/>
        <w:spacing w:after="150" w:line="240" w:lineRule="auto"/>
        <w:rPr>
          <w:rFonts w:ascii="Times New Roman" w:eastAsia="Times New Roman" w:hAnsi="Times New Roman" w:cs="Times New Roman"/>
          <w:color w:val="212121"/>
          <w:sz w:val="21"/>
          <w:szCs w:val="21"/>
          <w:lang w:eastAsia="hr-HR"/>
        </w:rPr>
      </w:pPr>
      <w:r>
        <w:rPr>
          <w:rFonts w:ascii="Times New Roman" w:eastAsia="Times New Roman" w:hAnsi="Times New Roman" w:cs="Times New Roman"/>
          <w:color w:val="212121"/>
          <w:sz w:val="21"/>
          <w:szCs w:val="21"/>
          <w:lang w:eastAsia="hr-HR"/>
        </w:rPr>
        <w:t>Ova Odluka stupa na snagu</w:t>
      </w:r>
      <w:r w:rsidR="0050315F" w:rsidRPr="0050315F">
        <w:rPr>
          <w:rFonts w:ascii="Times New Roman" w:eastAsia="Times New Roman" w:hAnsi="Times New Roman" w:cs="Times New Roman"/>
          <w:color w:val="212121"/>
          <w:sz w:val="21"/>
          <w:szCs w:val="21"/>
          <w:lang w:eastAsia="hr-HR"/>
        </w:rPr>
        <w:t> osmog dana nakon objave  u "Službenom vjesniku Šibensko-kninske</w:t>
      </w:r>
      <w:r w:rsidR="00B620B2">
        <w:rPr>
          <w:rFonts w:ascii="Times New Roman" w:eastAsia="Times New Roman" w:hAnsi="Times New Roman" w:cs="Times New Roman"/>
          <w:color w:val="212121"/>
          <w:sz w:val="21"/>
          <w:szCs w:val="21"/>
          <w:lang w:eastAsia="hr-HR"/>
        </w:rPr>
        <w:t xml:space="preserve"> županije",a primjenjivat će se</w:t>
      </w:r>
      <w:r w:rsidR="0050315F" w:rsidRPr="0050315F">
        <w:rPr>
          <w:rFonts w:ascii="Times New Roman" w:eastAsia="Times New Roman" w:hAnsi="Times New Roman" w:cs="Times New Roman"/>
          <w:color w:val="212121"/>
          <w:sz w:val="21"/>
          <w:szCs w:val="21"/>
          <w:lang w:eastAsia="hr-HR"/>
        </w:rPr>
        <w:t xml:space="preserve"> u 2019.g.</w:t>
      </w:r>
    </w:p>
    <w:p w:rsidR="0050315F" w:rsidRDefault="0050315F" w:rsidP="0050315F">
      <w:pPr>
        <w:shd w:val="clear" w:color="auto" w:fill="FFFFFF"/>
        <w:spacing w:after="150" w:line="240" w:lineRule="auto"/>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KLASA:402-08/19-01/</w:t>
      </w:r>
      <w:r w:rsidRPr="0050315F">
        <w:rPr>
          <w:rFonts w:ascii="Times New Roman" w:eastAsia="Times New Roman" w:hAnsi="Times New Roman" w:cs="Times New Roman"/>
          <w:color w:val="212121"/>
          <w:sz w:val="21"/>
          <w:szCs w:val="21"/>
          <w:lang w:eastAsia="hr-HR"/>
        </w:rPr>
        <w:br/>
        <w:t>URBROJ:2182/16-01-19-2</w:t>
      </w:r>
      <w:r w:rsidRPr="0050315F">
        <w:rPr>
          <w:rFonts w:ascii="Times New Roman" w:eastAsia="Times New Roman" w:hAnsi="Times New Roman" w:cs="Times New Roman"/>
          <w:color w:val="212121"/>
          <w:sz w:val="21"/>
          <w:szCs w:val="21"/>
          <w:lang w:eastAsia="hr-HR"/>
        </w:rPr>
        <w:br/>
        <w:t>Kistanje,31.siječnja 2019.g.</w:t>
      </w:r>
    </w:p>
    <w:p w:rsidR="0050315F" w:rsidRPr="0050315F" w:rsidRDefault="0050315F" w:rsidP="0050315F">
      <w:pPr>
        <w:shd w:val="clear" w:color="auto" w:fill="FFFFFF"/>
        <w:spacing w:after="150" w:line="240" w:lineRule="auto"/>
        <w:rPr>
          <w:rFonts w:ascii="Times New Roman" w:eastAsia="Times New Roman" w:hAnsi="Times New Roman" w:cs="Times New Roman"/>
          <w:color w:val="212121"/>
          <w:sz w:val="21"/>
          <w:szCs w:val="21"/>
          <w:lang w:eastAsia="hr-HR"/>
        </w:rPr>
      </w:pPr>
    </w:p>
    <w:p w:rsidR="0050315F" w:rsidRPr="0050315F" w:rsidRDefault="0050315F" w:rsidP="0050315F">
      <w:pPr>
        <w:shd w:val="clear" w:color="auto" w:fill="FFFFFF"/>
        <w:spacing w:after="150" w:line="240" w:lineRule="auto"/>
        <w:jc w:val="center"/>
        <w:rPr>
          <w:rFonts w:ascii="Times New Roman" w:eastAsia="Times New Roman" w:hAnsi="Times New Roman" w:cs="Times New Roman"/>
          <w:color w:val="212121"/>
          <w:sz w:val="21"/>
          <w:szCs w:val="21"/>
          <w:lang w:eastAsia="hr-HR"/>
        </w:rPr>
      </w:pPr>
      <w:r w:rsidRPr="0050315F">
        <w:rPr>
          <w:rFonts w:ascii="Times New Roman" w:eastAsia="Times New Roman" w:hAnsi="Times New Roman" w:cs="Times New Roman"/>
          <w:color w:val="212121"/>
          <w:sz w:val="21"/>
          <w:szCs w:val="21"/>
          <w:lang w:eastAsia="hr-HR"/>
        </w:rPr>
        <w:t>OPĆINSKO VIJEĆE OPĆINE KISTANJE</w:t>
      </w:r>
      <w:r w:rsidRPr="0050315F">
        <w:rPr>
          <w:rFonts w:ascii="Times New Roman" w:eastAsia="Times New Roman" w:hAnsi="Times New Roman" w:cs="Times New Roman"/>
          <w:color w:val="212121"/>
          <w:sz w:val="21"/>
          <w:szCs w:val="21"/>
          <w:lang w:eastAsia="hr-HR"/>
        </w:rPr>
        <w:br/>
        <w:t>PREDSJEDNIK</w:t>
      </w:r>
    </w:p>
    <w:p w:rsidR="00692B1A" w:rsidRPr="0050315F" w:rsidRDefault="0050315F" w:rsidP="0050315F">
      <w:pPr>
        <w:tabs>
          <w:tab w:val="left" w:pos="3435"/>
        </w:tabs>
        <w:rPr>
          <w:rFonts w:ascii="Times New Roman" w:hAnsi="Times New Roman" w:cs="Times New Roman"/>
        </w:rPr>
      </w:pPr>
      <w:r>
        <w:rPr>
          <w:rFonts w:ascii="Times New Roman" w:hAnsi="Times New Roman" w:cs="Times New Roman"/>
        </w:rPr>
        <w:tab/>
        <w:t xml:space="preserve">     Marko Sladaković</w:t>
      </w:r>
    </w:p>
    <w:sectPr w:rsidR="00692B1A" w:rsidRPr="0050315F" w:rsidSect="00324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5F"/>
    <w:rsid w:val="0007691C"/>
    <w:rsid w:val="0032428F"/>
    <w:rsid w:val="004C66C0"/>
    <w:rsid w:val="0050315F"/>
    <w:rsid w:val="00692B1A"/>
    <w:rsid w:val="008A5F38"/>
    <w:rsid w:val="00931789"/>
    <w:rsid w:val="00B620B2"/>
    <w:rsid w:val="00C15360"/>
    <w:rsid w:val="00D57B3F"/>
    <w:rsid w:val="00DC78AD"/>
    <w:rsid w:val="00DD71AE"/>
    <w:rsid w:val="00EC4D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7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3719</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korisnik1</dc:creator>
  <cp:lastModifiedBy>korisnik1</cp:lastModifiedBy>
  <cp:revision>2</cp:revision>
  <cp:lastPrinted>2019-01-23T08:11:00Z</cp:lastPrinted>
  <dcterms:created xsi:type="dcterms:W3CDTF">2019-01-23T08:11:00Z</dcterms:created>
  <dcterms:modified xsi:type="dcterms:W3CDTF">2019-01-23T08:11:00Z</dcterms:modified>
</cp:coreProperties>
</file>